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3" w:rsidRDefault="00E56C13" w:rsidP="00E56C13">
      <w:pPr>
        <w:pStyle w:val="a4"/>
        <w:ind w:left="6096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195"/>
      <w:bookmarkEnd w:id="0"/>
      <w:r>
        <w:rPr>
          <w:rFonts w:ascii="Times New Roman" w:hAnsi="Times New Roman" w:cs="Times New Roman"/>
          <w:sz w:val="24"/>
          <w:szCs w:val="24"/>
          <w:lang w:val="uk-UA" w:eastAsia="ru-RU"/>
        </w:rPr>
        <w:t>Д</w:t>
      </w:r>
      <w:r w:rsidR="00467FE3">
        <w:rPr>
          <w:rFonts w:ascii="Times New Roman" w:hAnsi="Times New Roman" w:cs="Times New Roman"/>
          <w:sz w:val="24"/>
          <w:szCs w:val="24"/>
          <w:lang w:val="uk-UA" w:eastAsia="ru-RU"/>
        </w:rPr>
        <w:t>одаток 5</w:t>
      </w:r>
    </w:p>
    <w:p w:rsidR="00E56C13" w:rsidRDefault="00E56C1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56C13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2D0733" w:rsidRPr="00441A9C" w:rsidRDefault="002D0733" w:rsidP="00441A9C">
      <w:pPr>
        <w:pStyle w:val="a4"/>
        <w:ind w:left="6096"/>
        <w:contextualSpacing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Херсонського </w:t>
      </w:r>
      <w:proofErr w:type="gramStart"/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окружного</w:t>
      </w:r>
      <w:proofErr w:type="gramEnd"/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адміністративного суду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1A9C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160E">
        <w:rPr>
          <w:rFonts w:ascii="Times New Roman" w:hAnsi="Times New Roman" w:cs="Times New Roman"/>
          <w:sz w:val="24"/>
          <w:szCs w:val="24"/>
          <w:lang w:val="uk-UA" w:eastAsia="ru-RU"/>
        </w:rPr>
        <w:t>07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.04.2021</w:t>
      </w:r>
      <w:r w:rsidRPr="00441A9C">
        <w:rPr>
          <w:rFonts w:ascii="Times New Roman" w:hAnsi="Times New Roman" w:cs="Times New Roman"/>
          <w:sz w:val="24"/>
          <w:szCs w:val="24"/>
          <w:lang w:eastAsia="ru-RU"/>
        </w:rPr>
        <w:t xml:space="preserve"> р. № </w:t>
      </w:r>
      <w:r w:rsidRPr="00441A9C">
        <w:rPr>
          <w:rFonts w:ascii="Times New Roman" w:hAnsi="Times New Roman" w:cs="Times New Roman"/>
          <w:sz w:val="24"/>
          <w:szCs w:val="24"/>
          <w:lang w:val="uk-UA" w:eastAsia="ru-RU"/>
        </w:rPr>
        <w:t>05-10</w:t>
      </w:r>
      <w:r w:rsidR="005223A6">
        <w:rPr>
          <w:rFonts w:ascii="Times New Roman" w:hAnsi="Times New Roman" w:cs="Times New Roman"/>
          <w:sz w:val="24"/>
          <w:szCs w:val="24"/>
          <w:lang w:val="uk-UA" w:eastAsia="ru-RU"/>
        </w:rPr>
        <w:t>/3</w:t>
      </w:r>
      <w:r w:rsidR="0049160E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</w:p>
    <w:p w:rsidR="00441A9C" w:rsidRDefault="00441A9C" w:rsidP="00441A9C">
      <w:pPr>
        <w:pStyle w:val="a4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441A9C" w:rsidRPr="0093388D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93388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УМОВИ</w:t>
      </w:r>
    </w:p>
    <w:p w:rsidR="00181C3A" w:rsidRDefault="00E56978" w:rsidP="00441A9C">
      <w:pPr>
        <w:pStyle w:val="a4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Pr="009338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конкурсу</w:t>
      </w:r>
      <w:r w:rsidR="002D0733" w:rsidRPr="009338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на зайняття</w:t>
      </w:r>
      <w:r w:rsidR="002D0733" w:rsidRPr="0093388D">
        <w:rPr>
          <w:rFonts w:ascii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посади державної служби категорії «В» - </w:t>
      </w:r>
    </w:p>
    <w:p w:rsidR="00E56978" w:rsidRDefault="00467FE3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>провідного спеціаліста відділу документального забезпечення і діловодства (канцелярії)</w:t>
      </w:r>
      <w:r w:rsidR="002D0733" w:rsidRPr="0093388D">
        <w:rPr>
          <w:rFonts w:ascii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 Херсонського окружного адміністративного суду</w:t>
      </w:r>
    </w:p>
    <w:p w:rsidR="00A55CD9" w:rsidRPr="00441A9C" w:rsidRDefault="00A55CD9" w:rsidP="00441A9C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2"/>
        <w:gridCol w:w="2780"/>
        <w:gridCol w:w="6582"/>
      </w:tblGrid>
      <w:tr w:rsidR="00E56978" w:rsidRPr="00441A9C" w:rsidTr="00467FE3">
        <w:trPr>
          <w:trHeight w:val="35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388D" w:rsidRPr="0093388D" w:rsidRDefault="00E56978" w:rsidP="009338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n766"/>
            <w:bookmarkEnd w:id="1"/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Загальні</w:t>
            </w:r>
            <w:proofErr w:type="spellEnd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8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FE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1. Здійснює</w:t>
            </w:r>
            <w:r w:rsidRPr="00467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реєстрацію, відправку офіційних електронних листів, отримання, друк прийнятих офіційних електронних листів, подальше опрацювання отриманої електронної пошти відповідно до вимог нормативних документів, що регламентують порядок ведення діловодства суду.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судах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</w:t>
            </w:r>
            <w:proofErr w:type="gram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</w:t>
            </w:r>
            <w:proofErr w:type="spellEnd"/>
            <w:proofErr w:type="gramEnd"/>
            <w:r w:rsidRPr="00467F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встановленого</w:t>
            </w:r>
            <w:proofErr w:type="spellEnd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порядку </w:t>
            </w:r>
            <w:proofErr w:type="spell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передачі</w:t>
            </w:r>
            <w:proofErr w:type="spellEnd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адміністративних</w:t>
            </w:r>
            <w:proofErr w:type="spellEnd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справ.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своєчасною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здачею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 до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аналітичну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здачі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готує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недоліків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систематично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доповідає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випадки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термі</w:t>
            </w:r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здачі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внесення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набрання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судовим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ішенням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законної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proofErr w:type="spellStart"/>
            <w:r w:rsidRPr="00467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апеляційних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скарг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касаційної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інстанції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витребування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справ, 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своєчасне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 до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інстанцій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6.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Забезпечує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упорядкування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зберігання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справ,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провадження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яким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закінчено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та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інших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</w:t>
            </w:r>
            <w:proofErr w:type="gram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іалів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відділі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позовних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разі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одночасної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відсутності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головного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спеціаліста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та заступника начальника </w:t>
            </w:r>
            <w:proofErr w:type="spellStart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автоматизований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перерозподіл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позовних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справ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ідповідно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автоматизовану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суду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своєчасну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суддям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FE3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сканування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по справам та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прикріплення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автоматизованій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978" w:rsidRPr="00467FE3" w:rsidRDefault="00467FE3" w:rsidP="00467FE3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10.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Здійснює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ідготовку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та передачу до сектору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організації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і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ведення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архівної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справи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адміністративних</w:t>
            </w:r>
            <w:proofErr w:type="spellEnd"/>
            <w:r w:rsidRPr="00467F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справ, </w:t>
            </w:r>
            <w:proofErr w:type="spellStart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провадження</w:t>
            </w:r>
            <w:proofErr w:type="spellEnd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у </w:t>
            </w:r>
            <w:proofErr w:type="spellStart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яких</w:t>
            </w:r>
            <w:proofErr w:type="spellEnd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закінчено</w:t>
            </w:r>
            <w:proofErr w:type="spellEnd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, а </w:t>
            </w:r>
            <w:proofErr w:type="spellStart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також</w:t>
            </w:r>
            <w:proofErr w:type="spellEnd"/>
            <w:r w:rsidRPr="00467FE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справ за номенклатурою справ </w:t>
            </w:r>
            <w:proofErr w:type="spellStart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67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оклад – 5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.; надбавки, доплати,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премії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службу»</w:t>
            </w:r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надбавка до посадового окладу за ранг відповідно до постанови Кабінету Міні</w:t>
            </w:r>
            <w:proofErr w:type="gramStart"/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gramEnd"/>
            <w:r w:rsidR="002D0733"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 від 18.01.2017 № 15 «Питання оплати праці працівників державних органів» (із змінами)</w:t>
            </w:r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Інформація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посаду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154" w:rsidRPr="00031154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троков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на час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відпустці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догляду за дитиною </w:t>
            </w:r>
            <w:r w:rsidR="00467F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7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67F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7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67F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7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фактичного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виходу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на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1A9C" w:rsidRPr="00441A9C" w:rsidRDefault="00031154" w:rsidP="00031154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трок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65-річного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 один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правом повторного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обов’язкового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031154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64D" w:rsidRPr="00D1064D" w:rsidRDefault="00D1064D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31154" w:rsidRPr="00031154">
              <w:rPr>
                <w:rFonts w:ascii="Times New Roman" w:hAnsi="Times New Roman" w:cs="Times New Roman"/>
                <w:color w:val="000000"/>
                <w:sz w:val="24"/>
                <w:lang w:val="uk-UA" w:eastAsia="uk-UA"/>
              </w:rPr>
              <w:t>(</w:t>
            </w:r>
            <w:hyperlink r:id="rId7" w:history="1"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https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career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gov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</w:rPr>
                <w:t>ua</w:t>
              </w:r>
              <w:r w:rsidR="00031154" w:rsidRPr="00434E98">
                <w:rPr>
                  <w:rStyle w:val="a3"/>
                  <w:rFonts w:ascii="Times New Roman" w:hAnsi="Times New Roman" w:cs="Times New Roman"/>
                  <w:sz w:val="24"/>
                  <w:lang w:val="uk-UA"/>
                </w:rPr>
                <w:t>/</w:t>
              </w:r>
            </w:hyperlink>
            <w:r w:rsidR="00031154" w:rsidRPr="0003115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  <w:r w:rsidR="00031154" w:rsidRPr="00031154">
              <w:rPr>
                <w:color w:val="000000"/>
                <w:sz w:val="24"/>
                <w:lang w:val="uk-UA" w:eastAsia="uk-UA"/>
              </w:rPr>
              <w:t xml:space="preserve"> </w:t>
            </w:r>
            <w:r w:rsidRPr="00D1064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таку інформацію:</w:t>
            </w:r>
          </w:p>
          <w:p w:rsidR="00AE488B" w:rsidRPr="00D1064D" w:rsidRDefault="00AE488B" w:rsidP="00D1064D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81C3A" w:rsidRPr="00D1064D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про участь </w:t>
            </w:r>
            <w:proofErr w:type="gram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няття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посади за формою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41A9C" w:rsidRPr="00D1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n199" w:history="1">
              <w:proofErr w:type="spellStart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додатком</w:t>
              </w:r>
              <w:proofErr w:type="spellEnd"/>
              <w:r w:rsidRPr="00D10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</w:t>
              </w:r>
            </w:hyperlink>
            <w:r w:rsidR="00441A9C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Порядку</w:t>
            </w:r>
            <w:r w:rsidR="00D1064D" w:rsidRP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конкурсу на зайня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ття посад державної служби</w:t>
            </w:r>
            <w:bookmarkStart w:id="2" w:name="_GoBack"/>
            <w:bookmarkEnd w:id="2"/>
            <w:r w:rsidRPr="00D1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441A9C" w:rsidP="0038655F">
            <w:pPr>
              <w:pStyle w:val="a4"/>
              <w:ind w:firstLine="1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anchor="n1039" w:history="1">
              <w:proofErr w:type="spellStart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додатком</w:t>
              </w:r>
              <w:proofErr w:type="spellEnd"/>
              <w:r w:rsidR="00AE488B"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2</w:t>
              </w:r>
            </w:hyperlink>
            <w:hyperlink r:id="rId10" w:anchor="n1039" w:history="1">
              <w:r w:rsidR="00AE488B" w:rsidRPr="00441A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-1</w:t>
              </w:r>
            </w:hyperlink>
            <w:r w:rsidRPr="00441A9C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vertAlign w:val="superscript"/>
                <w:lang w:val="uk-UA"/>
              </w:rPr>
              <w:t xml:space="preserve">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</w:t>
            </w:r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зазначається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="00AE488B" w:rsidRPr="00441A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2"/>
            <w:bookmarkEnd w:id="4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3"/>
            <w:bookmarkEnd w:id="5"/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особу та </w:t>
            </w: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4"/>
            <w:bookmarkEnd w:id="6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441A9C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175"/>
            <w:bookmarkEnd w:id="7"/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88B" w:rsidRPr="00AE7FEE" w:rsidRDefault="00AE488B" w:rsidP="00941766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n1176"/>
            <w:bookmarkEnd w:id="8"/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про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стаж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у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визначеній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конкурсу, та на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посадах (</w:t>
            </w:r>
            <w:proofErr w:type="gram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AE7F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488B" w:rsidRPr="00D1064D" w:rsidRDefault="00AE488B" w:rsidP="00D1064D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n1446"/>
            <w:bookmarkStart w:id="10" w:name="n1177"/>
            <w:bookmarkEnd w:id="9"/>
            <w:bookmarkEnd w:id="10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неї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визначені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anchor="n13" w:tgtFrame="_blank" w:history="1">
              <w:proofErr w:type="spellStart"/>
              <w:r w:rsidRPr="00441A9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третьою</w:t>
              </w:r>
              <w:proofErr w:type="spellEnd"/>
            </w:hyperlink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anchor="n14" w:tgtFrame="_blank" w:history="1">
              <w:r w:rsidRPr="003865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четвертою</w:t>
              </w:r>
            </w:hyperlink>
            <w:r w:rsidR="0038655F" w:rsidRPr="0038655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1 Закону </w:t>
            </w:r>
            <w:proofErr w:type="spellStart"/>
            <w:r w:rsidR="0038655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="003865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перевірки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неї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Закону.</w:t>
            </w:r>
            <w:bookmarkStart w:id="11" w:name="n1508"/>
            <w:bookmarkEnd w:id="11"/>
            <w:r w:rsidR="00D10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r w:rsidR="00031154">
              <w:rPr>
                <w:rFonts w:ascii="Times New Roman" w:hAnsi="Times New Roman" w:cs="Times New Roman"/>
                <w:sz w:val="24"/>
                <w:szCs w:val="24"/>
              </w:rPr>
              <w:t>атків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до заяви</w:t>
            </w:r>
            <w:proofErr w:type="gram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03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154">
              <w:rPr>
                <w:rFonts w:ascii="Times New Roman" w:hAnsi="Times New Roman" w:cs="Times New Roman"/>
                <w:sz w:val="24"/>
                <w:szCs w:val="24"/>
              </w:rPr>
              <w:t>обов’язков</w:t>
            </w:r>
            <w:r w:rsidR="00031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978" w:rsidRDefault="00AE488B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n1507"/>
            <w:bookmarkStart w:id="13" w:name="n1178"/>
            <w:bookmarkStart w:id="14" w:name="n1510"/>
            <w:bookmarkStart w:id="15" w:name="n1509"/>
            <w:bookmarkStart w:id="16" w:name="n1180"/>
            <w:bookmarkStart w:id="17" w:name="n1181"/>
            <w:bookmarkEnd w:id="12"/>
            <w:bookmarkEnd w:id="13"/>
            <w:bookmarkEnd w:id="14"/>
            <w:bookmarkEnd w:id="15"/>
            <w:bookmarkEnd w:id="16"/>
            <w:bookmarkEnd w:id="17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Особа,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виявила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бажання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конкурсі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подавати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ідтверджує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попередніх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публікації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8" w:name="n1182"/>
            <w:bookmarkStart w:id="19" w:name="n1183"/>
            <w:bookmarkEnd w:id="18"/>
            <w:bookmarkEnd w:id="19"/>
          </w:p>
          <w:p w:rsidR="004219BD" w:rsidRPr="00105FD0" w:rsidRDefault="004219BD" w:rsidP="006514A0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5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 17 год. 00 хв. 15 квітня 2021 року.</w:t>
            </w:r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941766" w:rsidP="004219BD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978"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083B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початку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кандидаті</w:t>
            </w:r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1154" w:rsidRPr="00031154" w:rsidRDefault="00031154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дистанційно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B3083B" w:rsidP="004219BD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 квітня 2021 року о 09:00 год.</w:t>
            </w:r>
          </w:p>
          <w:p w:rsidR="00B3083B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AA3" w:rsidRDefault="003D2AA3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31154" w:rsidRDefault="00031154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3D2AA3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Херсонський окружний адміністратив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ний суд,</w:t>
            </w:r>
            <w:r w:rsidR="006117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Філатова, 29, м.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(проведення тестування здійснюється за фізичної присутності кандидата)</w:t>
            </w:r>
          </w:p>
          <w:p w:rsidR="00B3083B" w:rsidRPr="00441A9C" w:rsidRDefault="00B3083B" w:rsidP="003D2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3083B" w:rsidRPr="00441A9C" w:rsidRDefault="00B3083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8704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3D2A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фізичної присутності кандидата)</w:t>
            </w:r>
          </w:p>
          <w:p w:rsidR="00B3083B" w:rsidRPr="00441A9C" w:rsidRDefault="00B3083B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E56C13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56C1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17BB" w:rsidRPr="00441A9C" w:rsidRDefault="006117BB" w:rsidP="006117BB">
            <w:pPr>
              <w:pStyle w:val="a4"/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Херсонськи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й окружний адміністративний суд, 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Філатова, 29, м. Херсон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(співбесіда проводиться за фізичної присутності кандидата)</w:t>
            </w:r>
          </w:p>
          <w:p w:rsidR="00E56978" w:rsidRPr="006117BB" w:rsidRDefault="00E56978" w:rsidP="00B47F01">
            <w:pPr>
              <w:pStyle w:val="a4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3B4BE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Лактіонова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Юлія Вікторівна, </w:t>
            </w:r>
          </w:p>
          <w:p w:rsid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тел.</w:t>
            </w:r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(0552) 42 01 07,</w:t>
            </w:r>
          </w:p>
          <w:p w:rsidR="003B4BEC" w:rsidRPr="00CA478C" w:rsidRDefault="00CF61F2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kadry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@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ks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court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CA478C" w:rsidRPr="00434E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ua</w:t>
              </w:r>
            </w:hyperlink>
            <w:r w:rsidR="00CA47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47F01" w:rsidRPr="00B47F01" w:rsidRDefault="00B47F0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56978" w:rsidRPr="00441A9C" w:rsidTr="00467FE3">
        <w:trPr>
          <w:trHeight w:val="435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441A9C" w:rsidTr="00467FE3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91476" w:rsidP="00F776E2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напрямком освіти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іальністю) «</w:t>
            </w:r>
            <w:r w:rsidR="004D2BF1">
              <w:rPr>
                <w:rFonts w:ascii="Times New Roman" w:hAnsi="Times New Roman"/>
                <w:sz w:val="24"/>
                <w:szCs w:val="24"/>
                <w:lang w:val="uk-UA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во», «Правознавство» або «Правоохоронна діяльність» </w:t>
            </w:r>
          </w:p>
        </w:tc>
      </w:tr>
      <w:tr w:rsidR="00E56978" w:rsidRPr="00441A9C" w:rsidTr="00467FE3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D2BF1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 вимог до досвіду роботи</w:t>
            </w:r>
          </w:p>
        </w:tc>
      </w:tr>
      <w:tr w:rsidR="00E56978" w:rsidRPr="00441A9C" w:rsidTr="00467FE3">
        <w:trPr>
          <w:trHeight w:val="690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4D2BF1" w:rsidP="004D2BF1">
            <w:pPr>
              <w:pStyle w:val="a4"/>
              <w:ind w:firstLine="1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E56978" w:rsidRPr="009C1C88" w:rsidTr="00467FE3">
        <w:trPr>
          <w:trHeight w:val="452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6978" w:rsidRPr="009C1C88" w:rsidRDefault="00E56978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E56978" w:rsidRPr="009C1C88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9C1C88" w:rsidRDefault="00E56978" w:rsidP="004D2B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56978" w:rsidRPr="00D97CE2" w:rsidTr="00467FE3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6978" w:rsidRPr="00441A9C" w:rsidRDefault="00E56978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978" w:rsidRPr="005D0935" w:rsidRDefault="00CF6AD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Командна робота та взаємодія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01AD" w:rsidRDefault="00E04CE4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F6AD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орієнтація на командний результат;</w:t>
            </w:r>
          </w:p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CF6AD0" w:rsidRPr="001619CD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відкритість в обміні інформацією</w:t>
            </w:r>
          </w:p>
        </w:tc>
      </w:tr>
      <w:tr w:rsidR="00CF6AD0" w:rsidRPr="00D97CE2" w:rsidTr="00467FE3">
        <w:trPr>
          <w:trHeight w:val="187"/>
        </w:trPr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6AD0" w:rsidRPr="00CF6AD0" w:rsidRDefault="00CF6AD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AD0" w:rsidRDefault="00CF6AD0" w:rsidP="00441A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Цифрова грамотність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04C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 виконання своїх посадових обов’язків;</w:t>
            </w:r>
          </w:p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використовувати сервіси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ефективного пошуку потрібної інформації;</w:t>
            </w:r>
          </w:p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6AD0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обов’язків, вміти користуватись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кваліфікованим електронним підписом (КЕП);</w:t>
            </w:r>
          </w:p>
          <w:p w:rsidR="00CF6AD0" w:rsidRPr="00E04CE4" w:rsidRDefault="00CF6AD0" w:rsidP="00CF6AD0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EF4889" w:rsidRPr="009E3706" w:rsidTr="00467FE3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CF6AD0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Pr="005D0935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Відповідальність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4889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усвідомлення рівня відпов</w:t>
            </w:r>
            <w:r w:rsidR="00F776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ідальності під час підготовки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прийняття рішень, готовність нести відповідальність за можливі наслідки реалізації таких рішень;</w:t>
            </w:r>
          </w:p>
          <w:p w:rsidR="009E3706" w:rsidRPr="009E3706" w:rsidRDefault="00E04CE4" w:rsidP="008E01AD">
            <w:pPr>
              <w:pStyle w:val="a4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9E370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F4889" w:rsidRPr="00441A9C" w:rsidTr="00467FE3">
        <w:trPr>
          <w:trHeight w:val="384"/>
        </w:trPr>
        <w:tc>
          <w:tcPr>
            <w:tcW w:w="96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EF4889" w:rsidRPr="00441A9C" w:rsidTr="00467FE3">
        <w:tc>
          <w:tcPr>
            <w:tcW w:w="3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4889" w:rsidRPr="009C1C88" w:rsidRDefault="00EF4889" w:rsidP="009C1C88">
            <w:pPr>
              <w:pStyle w:val="a4"/>
              <w:ind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1C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EF4889" w:rsidRPr="00441A9C" w:rsidTr="00467FE3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4889" w:rsidRPr="00441A9C" w:rsidRDefault="00EF4889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638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638" w:rsidRPr="00D82638" w:rsidRDefault="00CF61F2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Конституції</w:t>
              </w:r>
              <w:proofErr w:type="spellEnd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F61F2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2D51" w:rsidRPr="00D82638" w:rsidRDefault="00CF61F2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tgtFrame="_blank" w:history="1"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EF4889" w:rsidRPr="00D826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889"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="00592D51" w:rsidRPr="00D8263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EF4889" w:rsidRPr="00441A9C" w:rsidRDefault="00EF488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6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441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одавства</w:t>
            </w:r>
            <w:proofErr w:type="spellEnd"/>
          </w:p>
        </w:tc>
      </w:tr>
      <w:tr w:rsidR="00592D51" w:rsidRPr="00441A9C" w:rsidTr="00467FE3"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592D51" w:rsidRDefault="00592D51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D51" w:rsidRPr="00D82638" w:rsidRDefault="00D82638" w:rsidP="00EF48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638" w:rsidRPr="00CF6AD0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Кодекс адміністративного судочинства України;</w:t>
            </w:r>
          </w:p>
          <w:p w:rsidR="00D82638" w:rsidRPr="00CF6AD0" w:rsidRDefault="00D82638" w:rsidP="00AF720D">
            <w:pPr>
              <w:pStyle w:val="a4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виконавче провадження»;</w:t>
            </w:r>
          </w:p>
          <w:p w:rsidR="00CF6AD0" w:rsidRPr="00CF6AD0" w:rsidRDefault="00CF6AD0" w:rsidP="00CF6AD0">
            <w:pPr>
              <w:pStyle w:val="3"/>
              <w:shd w:val="clear" w:color="auto" w:fill="FFFFFF"/>
              <w:spacing w:before="0" w:beforeAutospacing="0" w:after="0" w:afterAutospacing="0"/>
              <w:ind w:firstLine="202"/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</w:pPr>
            <w:r w:rsidRPr="00CF6AD0">
              <w:rPr>
                <w:b w:val="0"/>
                <w:sz w:val="24"/>
                <w:szCs w:val="24"/>
                <w:lang w:val="uk-UA"/>
              </w:rPr>
              <w:t>Закон України</w:t>
            </w:r>
            <w:r w:rsidRPr="00CF6AD0">
              <w:rPr>
                <w:b w:val="0"/>
                <w:bCs w:val="0"/>
                <w:color w:val="222222"/>
                <w:sz w:val="24"/>
                <w:szCs w:val="24"/>
                <w:lang w:val="uk-UA"/>
              </w:rPr>
              <w:t xml:space="preserve"> «Про доступ до публічної інформації»;</w:t>
            </w:r>
          </w:p>
          <w:p w:rsidR="00CF6AD0" w:rsidRPr="00CF6AD0" w:rsidRDefault="00CF6AD0" w:rsidP="00CF6AD0">
            <w:pPr>
              <w:pStyle w:val="a4"/>
              <w:ind w:firstLine="2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звернення громадян»;</w:t>
            </w:r>
          </w:p>
          <w:p w:rsidR="00D82638" w:rsidRPr="00CF6AD0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Інструкція з діловодства в місцевих та апеляційних судах України;</w:t>
            </w:r>
          </w:p>
          <w:p w:rsidR="00105FD0" w:rsidRPr="00CF6AD0" w:rsidRDefault="00105FD0" w:rsidP="00AF720D">
            <w:pPr>
              <w:tabs>
                <w:tab w:val="left" w:pos="422"/>
              </w:tabs>
              <w:spacing w:line="276" w:lineRule="auto"/>
              <w:ind w:left="202"/>
              <w:jc w:val="both"/>
              <w:rPr>
                <w:sz w:val="24"/>
              </w:rPr>
            </w:pPr>
            <w:r w:rsidRPr="00CF6AD0">
              <w:rPr>
                <w:sz w:val="24"/>
              </w:rPr>
              <w:t>Положення «Про автоматизовану систему документообігу суду»;</w:t>
            </w:r>
          </w:p>
          <w:p w:rsidR="003D4229" w:rsidRPr="00CF6AD0" w:rsidRDefault="003D4229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4163-2003 (Вимоги до оформлювання документів)</w:t>
            </w:r>
          </w:p>
          <w:p w:rsidR="00CF6AD0" w:rsidRPr="00CF6AD0" w:rsidRDefault="00CF6AD0" w:rsidP="00CF6AD0">
            <w:pPr>
              <w:pStyle w:val="a4"/>
              <w:ind w:firstLine="20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організаціях.</w:t>
            </w:r>
          </w:p>
          <w:p w:rsidR="00CF6AD0" w:rsidRPr="00D82638" w:rsidRDefault="00CF6AD0" w:rsidP="00AF720D">
            <w:pPr>
              <w:pStyle w:val="a4"/>
              <w:ind w:left="20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5034D" w:rsidRDefault="0005034D" w:rsidP="003D4229">
      <w:pPr>
        <w:shd w:val="clear" w:color="auto" w:fill="FFFFFF"/>
        <w:spacing w:after="121"/>
        <w:ind w:firstLine="363"/>
        <w:jc w:val="both"/>
      </w:pPr>
      <w:bookmarkStart w:id="20" w:name="n767"/>
      <w:bookmarkStart w:id="21" w:name="n568"/>
      <w:bookmarkEnd w:id="20"/>
      <w:bookmarkEnd w:id="21"/>
    </w:p>
    <w:sectPr w:rsidR="0005034D" w:rsidSect="0093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D0" w:rsidRDefault="00CF6AD0" w:rsidP="00E56C13">
      <w:r>
        <w:separator/>
      </w:r>
    </w:p>
  </w:endnote>
  <w:endnote w:type="continuationSeparator" w:id="0">
    <w:p w:rsidR="00CF6AD0" w:rsidRDefault="00CF6AD0" w:rsidP="00E5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D0" w:rsidRDefault="00CF6AD0" w:rsidP="00E56C13">
      <w:r>
        <w:separator/>
      </w:r>
    </w:p>
  </w:footnote>
  <w:footnote w:type="continuationSeparator" w:id="0">
    <w:p w:rsidR="00CF6AD0" w:rsidRDefault="00CF6AD0" w:rsidP="00E56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D9"/>
    <w:multiLevelType w:val="hybridMultilevel"/>
    <w:tmpl w:val="C9AC49DA"/>
    <w:lvl w:ilvl="0" w:tplc="4CD6438C">
      <w:start w:val="20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>
    <w:nsid w:val="13BC5523"/>
    <w:multiLevelType w:val="hybridMultilevel"/>
    <w:tmpl w:val="ED44EC08"/>
    <w:lvl w:ilvl="0" w:tplc="BCB2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A7F"/>
    <w:multiLevelType w:val="hybridMultilevel"/>
    <w:tmpl w:val="F0E07944"/>
    <w:lvl w:ilvl="0" w:tplc="B1F2077E">
      <w:start w:val="1"/>
      <w:numFmt w:val="decimal"/>
      <w:lvlText w:val="%1."/>
      <w:lvlJc w:val="left"/>
      <w:pPr>
        <w:ind w:left="58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175D"/>
    <w:multiLevelType w:val="hybridMultilevel"/>
    <w:tmpl w:val="C22C91FA"/>
    <w:lvl w:ilvl="0" w:tplc="E9004802">
      <w:start w:val="1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>
    <w:nsid w:val="63AE4E01"/>
    <w:multiLevelType w:val="hybridMultilevel"/>
    <w:tmpl w:val="2BB06098"/>
    <w:lvl w:ilvl="0" w:tplc="7C5EB7DC">
      <w:start w:val="2"/>
      <w:numFmt w:val="bullet"/>
      <w:lvlText w:val="-"/>
      <w:lvlJc w:val="left"/>
      <w:pPr>
        <w:ind w:left="5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78"/>
    <w:rsid w:val="00031154"/>
    <w:rsid w:val="0005034D"/>
    <w:rsid w:val="00105FD0"/>
    <w:rsid w:val="001619CD"/>
    <w:rsid w:val="00181C3A"/>
    <w:rsid w:val="00201BC5"/>
    <w:rsid w:val="002268A3"/>
    <w:rsid w:val="00232CB4"/>
    <w:rsid w:val="002417AB"/>
    <w:rsid w:val="002D0733"/>
    <w:rsid w:val="0038655F"/>
    <w:rsid w:val="003B4BEC"/>
    <w:rsid w:val="003D2AA3"/>
    <w:rsid w:val="003D4229"/>
    <w:rsid w:val="004219BD"/>
    <w:rsid w:val="00441A9C"/>
    <w:rsid w:val="00467FE3"/>
    <w:rsid w:val="0049160E"/>
    <w:rsid w:val="004D2BF1"/>
    <w:rsid w:val="005223A6"/>
    <w:rsid w:val="00542E12"/>
    <w:rsid w:val="00592D51"/>
    <w:rsid w:val="005D0935"/>
    <w:rsid w:val="006117BB"/>
    <w:rsid w:val="006514A0"/>
    <w:rsid w:val="006E0677"/>
    <w:rsid w:val="008046AF"/>
    <w:rsid w:val="008E01AD"/>
    <w:rsid w:val="00924DDA"/>
    <w:rsid w:val="0093388D"/>
    <w:rsid w:val="00941766"/>
    <w:rsid w:val="009C1C88"/>
    <w:rsid w:val="009E3706"/>
    <w:rsid w:val="009F10A1"/>
    <w:rsid w:val="00A03878"/>
    <w:rsid w:val="00A55CD9"/>
    <w:rsid w:val="00AE488B"/>
    <w:rsid w:val="00AE7FEE"/>
    <w:rsid w:val="00AF720D"/>
    <w:rsid w:val="00B3083B"/>
    <w:rsid w:val="00B47F01"/>
    <w:rsid w:val="00C31997"/>
    <w:rsid w:val="00C8066C"/>
    <w:rsid w:val="00C865BE"/>
    <w:rsid w:val="00CA478C"/>
    <w:rsid w:val="00CF61F2"/>
    <w:rsid w:val="00CF6AD0"/>
    <w:rsid w:val="00D1064D"/>
    <w:rsid w:val="00D82638"/>
    <w:rsid w:val="00D87049"/>
    <w:rsid w:val="00D97CE2"/>
    <w:rsid w:val="00E04CE4"/>
    <w:rsid w:val="00E56978"/>
    <w:rsid w:val="00E56C13"/>
    <w:rsid w:val="00E91476"/>
    <w:rsid w:val="00ED04C2"/>
    <w:rsid w:val="00EF4889"/>
    <w:rsid w:val="00F17DE9"/>
    <w:rsid w:val="00F7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CF6AD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E56978"/>
  </w:style>
  <w:style w:type="paragraph" w:customStyle="1" w:styleId="rvps7">
    <w:name w:val="rvps7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5">
    <w:name w:val="rvts15"/>
    <w:basedOn w:val="a0"/>
    <w:rsid w:val="00E56978"/>
  </w:style>
  <w:style w:type="paragraph" w:customStyle="1" w:styleId="rvps14">
    <w:name w:val="rvps14"/>
    <w:basedOn w:val="a"/>
    <w:rsid w:val="00E56978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E56978"/>
    <w:rPr>
      <w:color w:val="0000FF"/>
      <w:u w:val="single"/>
    </w:rPr>
  </w:style>
  <w:style w:type="paragraph" w:customStyle="1" w:styleId="rvps2">
    <w:name w:val="rvps2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11">
    <w:name w:val="rvts11"/>
    <w:basedOn w:val="a0"/>
    <w:rsid w:val="00E56978"/>
  </w:style>
  <w:style w:type="paragraph" w:customStyle="1" w:styleId="rvps8">
    <w:name w:val="rvps8"/>
    <w:basedOn w:val="a"/>
    <w:rsid w:val="00E56978"/>
    <w:pPr>
      <w:spacing w:before="100" w:beforeAutospacing="1" w:after="100" w:afterAutospacing="1"/>
    </w:pPr>
    <w:rPr>
      <w:sz w:val="24"/>
    </w:rPr>
  </w:style>
  <w:style w:type="character" w:customStyle="1" w:styleId="rvts46">
    <w:name w:val="rvts46"/>
    <w:basedOn w:val="a0"/>
    <w:rsid w:val="00E56978"/>
  </w:style>
  <w:style w:type="paragraph" w:styleId="a4">
    <w:name w:val="No Spacing"/>
    <w:uiPriority w:val="1"/>
    <w:qFormat/>
    <w:rsid w:val="00441A9C"/>
    <w:pPr>
      <w:spacing w:after="0" w:line="240" w:lineRule="auto"/>
    </w:pPr>
  </w:style>
  <w:style w:type="character" w:customStyle="1" w:styleId="apple-style-span">
    <w:name w:val="apple-style-span"/>
    <w:basedOn w:val="a0"/>
    <w:rsid w:val="00B47F01"/>
  </w:style>
  <w:style w:type="paragraph" w:styleId="a5">
    <w:name w:val="Balloon Text"/>
    <w:basedOn w:val="a"/>
    <w:link w:val="a6"/>
    <w:uiPriority w:val="99"/>
    <w:semiHidden/>
    <w:unhideWhenUsed/>
    <w:rsid w:val="003B4B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31154"/>
    <w:rPr>
      <w:color w:val="800080" w:themeColor="followedHyperlink"/>
      <w:u w:val="single"/>
    </w:rPr>
  </w:style>
  <w:style w:type="character" w:styleId="a8">
    <w:name w:val="Strong"/>
    <w:uiPriority w:val="22"/>
    <w:qFormat/>
    <w:rsid w:val="00105FD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E56C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6C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d">
    <w:name w:val="Назва документа"/>
    <w:basedOn w:val="a"/>
    <w:next w:val="a"/>
    <w:rsid w:val="00467FE3"/>
    <w:pPr>
      <w:keepNext/>
      <w:keepLines/>
      <w:spacing w:before="240" w:after="240" w:line="276" w:lineRule="auto"/>
      <w:ind w:firstLine="709"/>
      <w:jc w:val="center"/>
    </w:pPr>
    <w:rPr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CF6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514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mailto:kadry@adm.ks.court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hr2</cp:lastModifiedBy>
  <cp:revision>33</cp:revision>
  <cp:lastPrinted>2021-04-08T08:01:00Z</cp:lastPrinted>
  <dcterms:created xsi:type="dcterms:W3CDTF">2021-04-06T13:09:00Z</dcterms:created>
  <dcterms:modified xsi:type="dcterms:W3CDTF">2021-04-08T08:01:00Z</dcterms:modified>
</cp:coreProperties>
</file>