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330156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квітн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690C3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Pr="00690C32" w:rsidRDefault="00191A72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F15819"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внесення змін до </w:t>
      </w:r>
      <w:r w:rsidR="00690C32"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Засад використання автоматизованої системи документообігу </w:t>
      </w:r>
      <w:r w:rsidR="00F15819"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Херсонського окружного адміністративного суду 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690C32" w:rsidRDefault="00690C32" w:rsidP="00690C32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contextualSpacing/>
        <w:jc w:val="both"/>
        <w:textAlignment w:val="baseline"/>
        <w:rPr>
          <w:lang w:val="uk-UA"/>
        </w:rPr>
      </w:pPr>
      <w:r w:rsidRPr="00690C32">
        <w:rPr>
          <w:lang w:val="uk-UA"/>
        </w:rPr>
        <w:t>Внес</w:t>
      </w:r>
      <w:r>
        <w:rPr>
          <w:lang w:val="uk-UA"/>
        </w:rPr>
        <w:t>ти</w:t>
      </w:r>
      <w:r w:rsidRPr="00690C32">
        <w:rPr>
          <w:lang w:val="uk-UA"/>
        </w:rPr>
        <w:t xml:space="preserve"> змін до Засад використання автоматизованої системи документообігу Херсонського окружного адміністративного суду, а саме: п.2.3.40 – виключити</w:t>
      </w:r>
      <w:r>
        <w:rPr>
          <w:lang w:val="uk-UA"/>
        </w:rPr>
        <w:t>,</w:t>
      </w:r>
      <w:r w:rsidRPr="00690C32">
        <w:rPr>
          <w:lang w:val="uk-UA"/>
        </w:rPr>
        <w:t xml:space="preserve"> п.2.3.39 викласти в новій редакції</w:t>
      </w:r>
      <w:r>
        <w:rPr>
          <w:lang w:val="uk-UA"/>
        </w:rPr>
        <w:t>:</w:t>
      </w:r>
    </w:p>
    <w:p w:rsidR="00690C32" w:rsidRPr="00807AB5" w:rsidRDefault="00690C32" w:rsidP="00690C32">
      <w:pPr>
        <w:pStyle w:val="ac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 w:rsidRPr="00807AB5">
        <w:rPr>
          <w:lang w:val="uk-UA"/>
        </w:rPr>
        <w:t>«Раніше визначеному в судовій справі головуючому судді передаються також:</w:t>
      </w:r>
    </w:p>
    <w:p w:rsidR="00690C32" w:rsidRPr="00807AB5" w:rsidRDefault="00690C32" w:rsidP="00690C32">
      <w:pPr>
        <w:pStyle w:val="3"/>
        <w:spacing w:after="288"/>
        <w:ind w:firstLine="426"/>
        <w:contextualSpacing/>
      </w:pPr>
      <w:r w:rsidRPr="00807AB5">
        <w:t>- судові справи, за якими надійшли заяви або клопотання для вирішення питання про прийняття додаткового судового рішення, виправлення описок та помилок, роз'яснення судового рішення, повернення судового збору;</w:t>
      </w:r>
    </w:p>
    <w:p w:rsidR="00690C32" w:rsidRPr="00807AB5" w:rsidRDefault="00690C32" w:rsidP="00690C32">
      <w:pPr>
        <w:pStyle w:val="3"/>
        <w:spacing w:after="288"/>
        <w:ind w:firstLine="426"/>
        <w:contextualSpacing/>
      </w:pPr>
      <w:r w:rsidRPr="00807AB5">
        <w:t>- судові справи, за якими надійшли заяви та клопотання з процесуальних питань, пов’язаних з виконанням судових рішень, подані до суду, що розглядав справу;</w:t>
      </w:r>
    </w:p>
    <w:p w:rsidR="00690C32" w:rsidRPr="00807AB5" w:rsidRDefault="00690C32" w:rsidP="00690C32">
      <w:pPr>
        <w:pStyle w:val="3"/>
        <w:spacing w:after="288"/>
        <w:ind w:firstLine="426"/>
        <w:contextualSpacing/>
      </w:pPr>
      <w:r w:rsidRPr="00807AB5">
        <w:t>- зустрічні позови</w:t>
      </w:r>
      <w:r w:rsidRPr="00807AB5">
        <w:rPr>
          <w:b/>
        </w:rPr>
        <w:t xml:space="preserve"> </w:t>
      </w:r>
      <w:r w:rsidRPr="00807AB5">
        <w:t>та позови третіх осіб, які заявляють самостійні вимоги щодо предмета спору у судовій справі, у якій відкрито провадження;</w:t>
      </w:r>
    </w:p>
    <w:p w:rsidR="00690C32" w:rsidRPr="00807AB5" w:rsidRDefault="00690C32" w:rsidP="00690C32">
      <w:pPr>
        <w:pStyle w:val="3"/>
        <w:spacing w:after="288"/>
        <w:ind w:firstLine="426"/>
        <w:contextualSpacing/>
      </w:pPr>
      <w:r w:rsidRPr="00807AB5">
        <w:t>- заяви про відновлення втраченого судового провадження;</w:t>
      </w:r>
    </w:p>
    <w:p w:rsidR="00690C32" w:rsidRPr="00807AB5" w:rsidRDefault="00690C32" w:rsidP="00690C32">
      <w:pPr>
        <w:pStyle w:val="3"/>
        <w:spacing w:after="288"/>
        <w:ind w:firstLine="426"/>
        <w:contextualSpacing/>
      </w:pPr>
      <w:r w:rsidRPr="00807AB5">
        <w:t>- заяви про забезпечення позову, доказів, поданих після подання позовної заяви;</w:t>
      </w:r>
    </w:p>
    <w:p w:rsidR="00690C32" w:rsidRDefault="00690C32" w:rsidP="00690C32">
      <w:pPr>
        <w:pStyle w:val="3"/>
        <w:spacing w:after="288"/>
        <w:ind w:firstLine="426"/>
        <w:contextualSpacing/>
      </w:pPr>
      <w:r w:rsidRPr="00807AB5">
        <w:t xml:space="preserve">- заяви про перегляд судового рішення за </w:t>
      </w:r>
      <w:proofErr w:type="spellStart"/>
      <w:r w:rsidRPr="00807AB5">
        <w:t>нововиявленими</w:t>
      </w:r>
      <w:proofErr w:type="spellEnd"/>
      <w:r w:rsidRPr="00B149BF">
        <w:t xml:space="preserve"> обставинами</w:t>
      </w:r>
      <w:r>
        <w:t xml:space="preserve"> </w:t>
      </w:r>
      <w:r w:rsidRPr="002B675B">
        <w:t>за виключенням випадків, визначених законом</w:t>
      </w:r>
      <w:r>
        <w:t>.</w:t>
      </w:r>
    </w:p>
    <w:p w:rsidR="00690C32" w:rsidRDefault="00690C32" w:rsidP="00690C32">
      <w:pPr>
        <w:pStyle w:val="3"/>
        <w:spacing w:before="240" w:after="288"/>
        <w:ind w:firstLine="426"/>
        <w:contextualSpacing/>
      </w:pPr>
      <w:r>
        <w:t>Позовні заяви, що надійшли до суду після подання заяви про забезпечення позову (в порядку ч.2 ст. 153 КАС України), передаються судді, на розгляді якого перебувала вказана заява.»</w:t>
      </w:r>
    </w:p>
    <w:p w:rsidR="00F15819" w:rsidRDefault="00A6099C" w:rsidP="00807AB5">
      <w:pPr>
        <w:pStyle w:val="3"/>
        <w:numPr>
          <w:ilvl w:val="0"/>
          <w:numId w:val="12"/>
        </w:numPr>
        <w:spacing w:before="240" w:after="288"/>
        <w:ind w:left="0" w:firstLine="426"/>
        <w:contextualSpacing/>
      </w:pPr>
      <w:r w:rsidRPr="00F15819">
        <w:t>Рішення зборів суддів довести до відома керівника апарату суду та посадових осіб, відповідальних за здійснення автоматизованого розподілу судових справ.</w:t>
      </w:r>
    </w:p>
    <w:p w:rsidR="00191A72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53" w:rsidRDefault="00B36253" w:rsidP="005241B6">
      <w:pPr>
        <w:spacing w:after="0" w:line="240" w:lineRule="auto"/>
      </w:pPr>
      <w:r>
        <w:separator/>
      </w:r>
    </w:p>
  </w:endnote>
  <w:endnote w:type="continuationSeparator" w:id="0">
    <w:p w:rsidR="00B36253" w:rsidRDefault="00B36253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53" w:rsidRDefault="00B36253" w:rsidP="005241B6">
      <w:pPr>
        <w:spacing w:after="0" w:line="240" w:lineRule="auto"/>
      </w:pPr>
      <w:r>
        <w:separator/>
      </w:r>
    </w:p>
  </w:footnote>
  <w:footnote w:type="continuationSeparator" w:id="0">
    <w:p w:rsidR="00B36253" w:rsidRDefault="00B36253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061D0"/>
    <w:rsid w:val="00222C49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0C32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3525"/>
    <w:rsid w:val="007C5C9E"/>
    <w:rsid w:val="007D3F5B"/>
    <w:rsid w:val="00807AB5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1189D"/>
    <w:rsid w:val="00B1360D"/>
    <w:rsid w:val="00B36253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paragraph" w:styleId="3">
    <w:name w:val="heading 3"/>
    <w:basedOn w:val="a"/>
    <w:link w:val="30"/>
    <w:uiPriority w:val="9"/>
    <w:qFormat/>
    <w:rsid w:val="00690C32"/>
    <w:pPr>
      <w:spacing w:afterLines="120" w:line="240" w:lineRule="auto"/>
      <w:ind w:firstLine="107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32"/>
    <w:rPr>
      <w:rFonts w:ascii="Times New Roman" w:eastAsia="Times New Roman" w:hAnsi="Times New Roman" w:cs="Times New Roman"/>
      <w:bCs/>
      <w:sz w:val="24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3404-2C20-4D4C-9984-244B53CB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3</cp:revision>
  <cp:lastPrinted>2018-04-11T06:21:00Z</cp:lastPrinted>
  <dcterms:created xsi:type="dcterms:W3CDTF">2018-04-11T06:18:00Z</dcterms:created>
  <dcterms:modified xsi:type="dcterms:W3CDTF">2018-04-11T06:21:00Z</dcterms:modified>
</cp:coreProperties>
</file>