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8E" w:rsidRPr="004E418E" w:rsidRDefault="004E418E" w:rsidP="004E418E">
      <w:pPr>
        <w:ind w:firstLine="567"/>
        <w:jc w:val="center"/>
        <w:rPr>
          <w:b/>
        </w:rPr>
      </w:pPr>
      <w:r w:rsidRPr="004E418E">
        <w:rPr>
          <w:b/>
        </w:rPr>
        <w:t xml:space="preserve">Звіт голови суду </w:t>
      </w:r>
      <w:r w:rsidR="00E34C00">
        <w:rPr>
          <w:b/>
        </w:rPr>
        <w:t xml:space="preserve">про роботу суду </w:t>
      </w:r>
      <w:r w:rsidRPr="004E418E">
        <w:rPr>
          <w:b/>
        </w:rPr>
        <w:t>за 2016 рік</w:t>
      </w:r>
    </w:p>
    <w:p w:rsidR="00C75FFD" w:rsidRDefault="00C75FFD" w:rsidP="00C75FFD">
      <w:pPr>
        <w:ind w:firstLine="567"/>
        <w:jc w:val="both"/>
      </w:pPr>
      <w:r>
        <w:t>Звітуючи про роботу суду за 2016 рік, в першу чергу необхідно звернути увагу на кошторисні витрати, статистичні показники, аналітичну роботу суду, матеріально-технічне забезпечення та роботу суддівського самоврядування, апарату суду.</w:t>
      </w:r>
    </w:p>
    <w:p w:rsidR="00C75FFD" w:rsidRDefault="00C75FFD" w:rsidP="00C75FFD">
      <w:pPr>
        <w:ind w:firstLine="567"/>
      </w:pPr>
      <w:r>
        <w:t>1.Кошторисні витрати.</w:t>
      </w:r>
    </w:p>
    <w:p w:rsidR="00C75FFD" w:rsidRDefault="00C75FFD" w:rsidP="00C75FFD">
      <w:pPr>
        <w:ind w:firstLine="567"/>
        <w:jc w:val="both"/>
      </w:pPr>
      <w:r>
        <w:t>На виплату заробітної плати в 2016 році надійшло 7734,40 тис. грн. (7 734 400,00 грн.  у т.ч. по загальному фонду – 5 447 800,00 грн., по спеціальному фонду – 2 286 600,00 грн.).</w:t>
      </w:r>
    </w:p>
    <w:p w:rsidR="00C75FFD" w:rsidRDefault="00C75FFD" w:rsidP="00C75FFD">
      <w:pPr>
        <w:ind w:firstLine="567"/>
        <w:jc w:val="both"/>
      </w:pPr>
      <w:r>
        <w:t xml:space="preserve">На виплату нарахувань на заробітну плату надійшло 1735,2 тис. грн.  </w:t>
      </w:r>
    </w:p>
    <w:p w:rsidR="00C75FFD" w:rsidRDefault="00C75FFD" w:rsidP="00C75FFD">
      <w:pPr>
        <w:ind w:firstLine="567"/>
        <w:jc w:val="both"/>
      </w:pPr>
      <w:r>
        <w:t>Середня заробітна плата по апарату за 2016 рік  – 7973 грн.</w:t>
      </w:r>
    </w:p>
    <w:p w:rsidR="00C75FFD" w:rsidRDefault="00C75FFD" w:rsidP="00C75FFD">
      <w:pPr>
        <w:ind w:firstLine="567"/>
        <w:jc w:val="both"/>
      </w:pPr>
      <w:r>
        <w:t>На придбання предметів, матеріалів, обладнання та інвентарю затверджено кошторисом 503,2тис.грн. Касові видатки склали 494,2 тис. грн. (494219,47 грн.). Протягом року було придбано: папір – 36,8 тис. грн.; канцелярські товари та предмети конторського та господарського облаштування –  50,7 тис. грн.; миючи засоби – 16,7 тис. грн.; марки – 56 тис. грн.; придбання обладнання і предметів довгострокового користування – 85,8 тис. грн.  (жалюзі – 14шт., сейфи – 3шт., меблі (столи, шафи, тумби на інше) – 22 од., датчики руху – 8 шт., кондиціонери - 4 шт.); мантії для суддів 8шт. – 15,3тис.грн.; комп’ютерне обладнання – 146,6 тис. грн. ( у т.ч. системних блоків – 17 одиниць, моніторів – 13 од.); та інше.</w:t>
      </w:r>
    </w:p>
    <w:p w:rsidR="00C75FFD" w:rsidRDefault="00C75FFD" w:rsidP="00C75FFD">
      <w:pPr>
        <w:ind w:firstLine="567"/>
        <w:jc w:val="both"/>
      </w:pPr>
      <w:r>
        <w:t xml:space="preserve">На оплату  послуг  кошторисом затверджено 1795,1 тис. грн., видатки склали  1681,2 тис. грн. (1681232,59 грн.), з них: придбано 27 примірників операційна система Windows та 10 примірників офісні додатки Windows Office -196,8тис.грн.; супроводження програмного забезпечення – 128,3 тис. грн.; оренда приміщення –  1195,6тис. грн.; послуги зв’язку – 15,3 </w:t>
      </w:r>
      <w:proofErr w:type="spellStart"/>
      <w:r>
        <w:t>тис.грн</w:t>
      </w:r>
      <w:proofErr w:type="spellEnd"/>
      <w:r>
        <w:t>.; інші послуги – 145,2 тис. грн.</w:t>
      </w:r>
    </w:p>
    <w:p w:rsidR="00C75FFD" w:rsidRDefault="00C75FFD" w:rsidP="00C75FFD">
      <w:pPr>
        <w:ind w:firstLine="567"/>
        <w:jc w:val="both"/>
      </w:pPr>
      <w:r>
        <w:t xml:space="preserve"> На оплату видатків на відрядження витрачено 43 тис. грн. (42991,46 грн.)</w:t>
      </w:r>
    </w:p>
    <w:p w:rsidR="00C75FFD" w:rsidRDefault="00C75FFD" w:rsidP="00C75FFD">
      <w:pPr>
        <w:ind w:firstLine="567"/>
        <w:jc w:val="both"/>
      </w:pPr>
      <w:r>
        <w:t xml:space="preserve"> На оплату комунальних послуг кошторисом затверджено 289,5 тис. грн., видатки склали 272 тис. грн. (271977,38 грн.)</w:t>
      </w:r>
    </w:p>
    <w:p w:rsidR="00C75FFD" w:rsidRDefault="00C75FFD" w:rsidP="00C75FFD">
      <w:pPr>
        <w:ind w:firstLine="567"/>
        <w:jc w:val="both"/>
      </w:pPr>
      <w:r>
        <w:t>Інші витрати (оплата навчання членів тендерного комітету) – 7,5тис.грн.</w:t>
      </w:r>
    </w:p>
    <w:p w:rsidR="00C75FFD" w:rsidRDefault="00C75FFD" w:rsidP="00C75FFD">
      <w:pPr>
        <w:ind w:firstLine="567"/>
        <w:jc w:val="both"/>
      </w:pPr>
      <w:r>
        <w:t xml:space="preserve">На капітальні видатки кошторисом затверджено 249,1 </w:t>
      </w:r>
      <w:proofErr w:type="spellStart"/>
      <w:r>
        <w:t>тис.грн</w:t>
      </w:r>
      <w:proofErr w:type="spellEnd"/>
      <w:r>
        <w:t xml:space="preserve"> (249095,00грн.) Придбано: персональний комп’ютер 4шт., системний блок 2шт.</w:t>
      </w:r>
      <w:bookmarkStart w:id="0" w:name="_GoBack"/>
      <w:bookmarkEnd w:id="0"/>
      <w:r>
        <w:t xml:space="preserve"> – 56,5 </w:t>
      </w:r>
      <w:proofErr w:type="spellStart"/>
      <w:r>
        <w:t>тис.грн</w:t>
      </w:r>
      <w:proofErr w:type="spellEnd"/>
      <w:r>
        <w:t xml:space="preserve">.; принтер – 7,3тис.грн., система </w:t>
      </w:r>
      <w:proofErr w:type="spellStart"/>
      <w:r>
        <w:t>відеоконференцзв’язку</w:t>
      </w:r>
      <w:proofErr w:type="spellEnd"/>
      <w:r>
        <w:t xml:space="preserve"> – 141,9тис.грн.; </w:t>
      </w:r>
      <w:proofErr w:type="spellStart"/>
      <w:r>
        <w:t>фотообладнання</w:t>
      </w:r>
      <w:proofErr w:type="spellEnd"/>
      <w:r>
        <w:t xml:space="preserve"> – 42,7 </w:t>
      </w:r>
      <w:proofErr w:type="spellStart"/>
      <w:r>
        <w:t>тис.грн</w:t>
      </w:r>
      <w:proofErr w:type="spellEnd"/>
      <w:r>
        <w:t>.</w:t>
      </w:r>
    </w:p>
    <w:p w:rsidR="00C75FFD" w:rsidRDefault="00C75FFD" w:rsidP="00C75FFD">
      <w:pPr>
        <w:pStyle w:val="a4"/>
        <w:ind w:left="0" w:firstLine="567"/>
        <w:jc w:val="both"/>
      </w:pPr>
      <w:r>
        <w:t>Від реалізації макулатури отримано кошти в сумі 3515,60грн, які було витрачено на оплату послуг з технічного обслуговування обладнання суду.</w:t>
      </w:r>
    </w:p>
    <w:p w:rsidR="00C75FFD" w:rsidRDefault="00C75FFD" w:rsidP="00C75FFD">
      <w:pPr>
        <w:pStyle w:val="a4"/>
        <w:ind w:left="0" w:firstLine="567"/>
        <w:jc w:val="both"/>
      </w:pPr>
      <w:r>
        <w:t xml:space="preserve">Протягом року від ДСА України отримано обладнання на суму 252108,00 </w:t>
      </w:r>
      <w:proofErr w:type="spellStart"/>
      <w:r>
        <w:t>грн</w:t>
      </w:r>
      <w:proofErr w:type="spellEnd"/>
      <w:r>
        <w:t xml:space="preserve">, у т.ч. ПАК (програмно апаратний комплекс) – 1 шт., сервер – 1 шт. </w:t>
      </w:r>
    </w:p>
    <w:p w:rsidR="00C75FFD" w:rsidRDefault="00C75FFD" w:rsidP="00C75FFD">
      <w:pPr>
        <w:pStyle w:val="a4"/>
        <w:ind w:left="0" w:firstLine="567"/>
        <w:jc w:val="both"/>
      </w:pPr>
      <w:r>
        <w:t xml:space="preserve">Також у 2016 році було безоплатно отримано від Вищого адміністративного суд України автомобіль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Camry</w:t>
      </w:r>
      <w:proofErr w:type="spellEnd"/>
      <w:r>
        <w:t xml:space="preserve"> вартістю 190833,00грн.</w:t>
      </w:r>
    </w:p>
    <w:p w:rsidR="00C75FFD" w:rsidRDefault="00C75FFD" w:rsidP="00C75FFD">
      <w:pPr>
        <w:pStyle w:val="a4"/>
        <w:ind w:left="0" w:firstLine="567"/>
        <w:jc w:val="both"/>
      </w:pPr>
      <w:r>
        <w:t xml:space="preserve">Згідно наказу ДСА України автомобіль </w:t>
      </w:r>
      <w:proofErr w:type="spellStart"/>
      <w:r>
        <w:t>Nissan</w:t>
      </w:r>
      <w:proofErr w:type="spellEnd"/>
      <w:r>
        <w:t xml:space="preserve"> </w:t>
      </w:r>
      <w:proofErr w:type="spellStart"/>
      <w:r>
        <w:t>Maxima</w:t>
      </w:r>
      <w:proofErr w:type="spellEnd"/>
      <w:r>
        <w:t xml:space="preserve"> передано на баланс Територіального управління Державної судової адміністрації України в Херсонській області.</w:t>
      </w:r>
    </w:p>
    <w:p w:rsidR="00C75FFD" w:rsidRDefault="00C75FFD" w:rsidP="00C75FFD">
      <w:pPr>
        <w:ind w:firstLine="567"/>
        <w:jc w:val="both"/>
      </w:pPr>
      <w:r>
        <w:t>Усього використано 97% запланованих коштів. Кредиторська заборгованість на кінець року відсутня.</w:t>
      </w:r>
    </w:p>
    <w:p w:rsidR="00C75FFD" w:rsidRDefault="00C75FFD" w:rsidP="00C75FFD">
      <w:pPr>
        <w:ind w:firstLine="567"/>
        <w:jc w:val="both"/>
      </w:pPr>
      <w:r>
        <w:t>2. Щодо показників здійснення судочинства за 2016 рік, судді ознайомилися із статистичними даними, які також розміщенні в електронному вигляді в загальному доступі.</w:t>
      </w:r>
    </w:p>
    <w:p w:rsidR="00C75FFD" w:rsidRDefault="00C75FFD" w:rsidP="00C75FFD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lang w:val="uk-UA"/>
        </w:rPr>
      </w:pPr>
      <w:r>
        <w:rPr>
          <w:lang w:val="uk-UA"/>
        </w:rPr>
        <w:t>3. Суддівське самоврядування, оперативні наради, апарат суду.</w:t>
      </w:r>
    </w:p>
    <w:p w:rsidR="00C75FFD" w:rsidRDefault="00C75FFD" w:rsidP="00C75FFD">
      <w:pPr>
        <w:pStyle w:val="a3"/>
        <w:shd w:val="clear" w:color="auto" w:fill="FFFFFF"/>
        <w:spacing w:before="0" w:beforeAutospacing="0" w:after="300" w:afterAutospacing="0"/>
        <w:ind w:firstLine="720"/>
        <w:contextualSpacing/>
        <w:jc w:val="both"/>
        <w:rPr>
          <w:lang w:val="uk-UA"/>
        </w:rPr>
      </w:pPr>
      <w:r>
        <w:rPr>
          <w:lang w:val="uk-UA"/>
        </w:rPr>
        <w:t>Продовж 2015 року проведено 7 зборів суддів. Оперативні наради із суддями проводились щопонеділка, але не рідше двох разів на місяць.</w:t>
      </w:r>
    </w:p>
    <w:p w:rsidR="00C75FFD" w:rsidRDefault="00C75FFD" w:rsidP="00C75FFD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За звітний період покращилася робота з висвітлення діяльності суду на web-сайті Херсонського окружного адміністративного суду офіційного web-порталу «Судова влада України». </w:t>
      </w:r>
    </w:p>
    <w:p w:rsidR="00C75FFD" w:rsidRDefault="00C75FFD" w:rsidP="00C75FFD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Продовжується ведення сторінки суду в соціальній мережі </w:t>
      </w:r>
      <w:proofErr w:type="spellStart"/>
      <w:r>
        <w:rPr>
          <w:lang w:val="uk-UA"/>
        </w:rPr>
        <w:t>Facebook</w:t>
      </w:r>
      <w:proofErr w:type="spellEnd"/>
      <w:r>
        <w:rPr>
          <w:lang w:val="uk-UA"/>
        </w:rPr>
        <w:t>.</w:t>
      </w:r>
    </w:p>
    <w:p w:rsidR="00C75FFD" w:rsidRDefault="00C75FFD" w:rsidP="00C75FFD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lang w:val="uk-UA"/>
        </w:rPr>
      </w:pPr>
      <w:r>
        <w:rPr>
          <w:lang w:val="uk-UA"/>
        </w:rPr>
        <w:t>Постійно налагоджуються зв’язки із засобами масової інформації, здійснюються публікації по резонансним справам, запрошуються представники мас-медіа до участі та висвітленні різноманітних заходів, що відбуваються у суді. Покращилася робота суду щодо висвітлення своєї діяльності в друкованих виданнях, Інтернет ресурсах та на місцевому телебаченні.</w:t>
      </w:r>
    </w:p>
    <w:p w:rsidR="00E34C00" w:rsidRPr="00E34C00" w:rsidRDefault="00E34C00" w:rsidP="00E34C00">
      <w:pPr>
        <w:pStyle w:val="rvps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lang w:val="uk-UA"/>
        </w:rPr>
      </w:pPr>
      <w:r w:rsidRPr="00E34C00">
        <w:rPr>
          <w:b/>
          <w:lang w:val="uk-UA"/>
        </w:rPr>
        <w:t>Звіт керівника апарату суду щодо роботи апарату суду за 2016 рік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>Протягом 2016 року апаратом суду здійснювалася така робота:</w:t>
      </w:r>
    </w:p>
    <w:p w:rsidR="00E34C00" w:rsidRPr="00E34C00" w:rsidRDefault="00E34C00" w:rsidP="00E34C00">
      <w:pPr>
        <w:pStyle w:val="a4"/>
        <w:numPr>
          <w:ilvl w:val="0"/>
          <w:numId w:val="1"/>
        </w:numPr>
        <w:ind w:hanging="218"/>
        <w:jc w:val="both"/>
      </w:pPr>
      <w:r w:rsidRPr="00E34C00">
        <w:t xml:space="preserve">Кадрове забезпечення. 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lastRenderedPageBreak/>
        <w:t xml:space="preserve">Протягом 2016 року до суду було прийнято 9 осіб, переведено на інші посади в межах суду 6 осіб, звільнено 8 осіб за угодою сторін, 1 особа – у зв’язку з порушенням Присяги державного службовця (п. 4 ч. 1 ст. 87 ЗУ «Про державну службу»). 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>З метою належної організації виконання вимог Закону України «Про державну службу» від 10.12.2015 № 889-</w:t>
      </w:r>
      <w:r w:rsidRPr="00E34C00">
        <w:rPr>
          <w:lang w:val="en-US"/>
        </w:rPr>
        <w:t>VIII</w:t>
      </w:r>
      <w:r w:rsidRPr="00E34C00">
        <w:t xml:space="preserve"> затверджено План заходів щодо впровадження даного Закону, згідно якого: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>проведено оперативну нараду з працівниками апарату суду щодо правових наслідків набрання чинності Закону України «Про державну службу»;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>проаналізовано діючу структуру та штатну чисельність апарату суду, штатного розпису суду на дотримання співвідношення посад категорії «Б» до штатної чисельності апарату суду (не більше ніж 1:3);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 xml:space="preserve"> повідомлено помічника голови суду, помічників суддів про втрату статусу державного службовця;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>внесено зміни до посадових інструкцій помічника голови суду, помічників суддів та відповідних локальних актів суду, що визначають повноваження вказаних працівників;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 xml:space="preserve">розроблено Перелік посад працівників суду, які виконують функції з обслуговування, та подано на затвердження </w:t>
      </w:r>
      <w:proofErr w:type="spellStart"/>
      <w:r w:rsidRPr="00E34C00">
        <w:t>Нацдержслужбі</w:t>
      </w:r>
      <w:proofErr w:type="spellEnd"/>
      <w:r w:rsidRPr="00E34C00">
        <w:t>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>розроблено та затверджено структуру та штатну чисельність апарату суду, штатний розпис суду з урахування затвердженого Переліку;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>повідомлено державних службовців суду про зміну істотних умов державної служби;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>розроблено посадової інструкції головного спеціаліста з питань персоналу;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>затверджено Положення про конкурсну комісію суду, створено дисциплінарну комісію по розгляду дисциплінарних справ суду;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>документально оформлено згоду працівників апарату на нові умови праці;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>присвоєно ранги, встановлено надбавки, передбачені Законом 889-VIII;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 xml:space="preserve"> розроблено та затверджено правила внутрішнього службового розпорядку суду;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 xml:space="preserve"> розроблено та затверджено Положення про преміювання державних службовців;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>перераховано тривалість відпусток (щорічних, додаткових) патронатним службовцям;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>обраховано додаткові відпустки державним службовцям;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>проаналізовано діючі посадові інструкції державних службовців та інших працівників апарату суду на відповідність чинному законодавству;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>внесено зміни до них за необхідності;</w:t>
      </w:r>
    </w:p>
    <w:p w:rsidR="00E34C00" w:rsidRPr="00E34C00" w:rsidRDefault="00E34C00" w:rsidP="00E34C00">
      <w:pPr>
        <w:numPr>
          <w:ilvl w:val="0"/>
          <w:numId w:val="3"/>
        </w:numPr>
        <w:spacing w:after="200"/>
        <w:contextualSpacing/>
        <w:jc w:val="both"/>
      </w:pPr>
      <w:r w:rsidRPr="00E34C00">
        <w:t xml:space="preserve">оформлено особові картки державних службовців нового зразка (відповідно до наказу </w:t>
      </w:r>
      <w:proofErr w:type="spellStart"/>
      <w:r w:rsidRPr="00E34C00">
        <w:t>Нацдержслужби</w:t>
      </w:r>
      <w:proofErr w:type="spellEnd"/>
      <w:r w:rsidRPr="00E34C00">
        <w:t xml:space="preserve"> від 05.08.2016 р. № 156).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 xml:space="preserve">Згідно листа голови суду від 21.07.2016 р. № 03-05/676/16 до територіального управління Державної судової адміністрації України в Херсонській області 29.07.2016 р. затверджено перелік змін до структури і штатної чисельності апарату Херсонського окружного адміністративного суду, яким введено штатну одиницю – провідного спеціаліста з питань персоналу та виокремлено архів суду як структурний підрозділ у складі суду. 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>2. Підвищення кваліфікації.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 xml:space="preserve">У Одеському регіональному відділенні національної школи суддів пройшли підготовку працівники апарату суду в кількості 14 осіб. Крім того, 7 працівників апарату суду взяли участь у навчальних програмах, семінарах та тренінгах, організованих Вищим адміністративним судом України, Державною судовою адміністрацією України та міжнародними проектами. </w:t>
      </w:r>
    </w:p>
    <w:p w:rsidR="00E34C00" w:rsidRPr="00E34C00" w:rsidRDefault="00E34C00" w:rsidP="00E34C00">
      <w:pPr>
        <w:suppressAutoHyphens/>
        <w:ind w:firstLine="709"/>
        <w:contextualSpacing/>
        <w:jc w:val="both"/>
        <w:rPr>
          <w:color w:val="000000"/>
          <w:shd w:val="clear" w:color="auto" w:fill="FFFFFF"/>
        </w:rPr>
      </w:pPr>
      <w:r w:rsidRPr="00E34C00">
        <w:t xml:space="preserve">Протягом року з працівниками апарату суду проводились заняття щодо покращення роботи в автоматизованій системі документообігу суду та оперативні наради з метою усунення виявлених недоліків у роботі та підвищення знань і вмінь на теми: «Зміни в законодавстві про державну службу», «Загальні правила етичної поведінки державних службовців та посадових осіб місцевого самоврядування», соціально-психологічні тренінги на тему: «Ефективна комунікація», «Електронне декларування», «Зміни до Закону України «Про судовий збір», також проведено </w:t>
      </w:r>
      <w:r w:rsidRPr="00E34C00">
        <w:rPr>
          <w:color w:val="000000"/>
          <w:shd w:val="clear" w:color="auto" w:fill="FFFFFF"/>
        </w:rPr>
        <w:t>комплексне оцінювання роботи суду</w:t>
      </w:r>
      <w:r w:rsidRPr="00E34C00">
        <w:t xml:space="preserve"> за модулями: </w:t>
      </w:r>
      <w:r w:rsidRPr="00E34C00">
        <w:rPr>
          <w:color w:val="000000"/>
          <w:shd w:val="clear" w:color="auto" w:fill="FFFFFF"/>
        </w:rPr>
        <w:t>«Судове адміністрування», «Своєчасність судового розгляду» та «Задоволеність роботою суду учасниками проваджень».</w:t>
      </w:r>
    </w:p>
    <w:p w:rsidR="00E34C00" w:rsidRPr="00E34C00" w:rsidRDefault="00E34C00" w:rsidP="00E34C00">
      <w:pPr>
        <w:numPr>
          <w:ilvl w:val="0"/>
          <w:numId w:val="2"/>
        </w:numPr>
        <w:suppressAutoHyphens/>
        <w:spacing w:after="200"/>
        <w:ind w:hanging="218"/>
        <w:contextualSpacing/>
        <w:jc w:val="both"/>
      </w:pPr>
      <w:r w:rsidRPr="00E34C00">
        <w:t>Заохочення.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 xml:space="preserve">Оголошено Подяку територіального управління Державної судової адміністрації України в Херсонській області: 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 xml:space="preserve">помічнику голови суду Поповій К.Г., помічникам суддів </w:t>
      </w:r>
      <w:proofErr w:type="spellStart"/>
      <w:r w:rsidRPr="00E34C00">
        <w:t>Яришу</w:t>
      </w:r>
      <w:proofErr w:type="spellEnd"/>
      <w:r w:rsidRPr="00E34C00">
        <w:t xml:space="preserve"> Р.Г., </w:t>
      </w:r>
      <w:proofErr w:type="spellStart"/>
      <w:r w:rsidRPr="00E34C00">
        <w:t>Склонній</w:t>
      </w:r>
      <w:proofErr w:type="spellEnd"/>
      <w:r w:rsidRPr="00E34C00">
        <w:t xml:space="preserve"> Ю.В., секретарям судового засідання: Дудар Е.І., Пономаренко М.М., завідувачу господарством суду - </w:t>
      </w:r>
      <w:proofErr w:type="spellStart"/>
      <w:r w:rsidRPr="00E34C00">
        <w:lastRenderedPageBreak/>
        <w:t>Зібніцькому</w:t>
      </w:r>
      <w:proofErr w:type="spellEnd"/>
      <w:r w:rsidRPr="00E34C00">
        <w:t xml:space="preserve"> В.І., головному спеціалісту відділу бухгалтерського обліку, звітності та господарського забезпечення </w:t>
      </w:r>
      <w:proofErr w:type="spellStart"/>
      <w:r w:rsidRPr="00E34C00">
        <w:t>Казимирчак</w:t>
      </w:r>
      <w:proofErr w:type="spellEnd"/>
      <w:r w:rsidRPr="00E34C00">
        <w:t xml:space="preserve"> Н.В.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 xml:space="preserve">Нагороджено Грамотою територіального управління  Державної судової адміністрації України в Херсонській області: 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 xml:space="preserve">помічника судді </w:t>
      </w:r>
      <w:proofErr w:type="spellStart"/>
      <w:r w:rsidRPr="00E34C00">
        <w:t>Якущенко</w:t>
      </w:r>
      <w:proofErr w:type="spellEnd"/>
      <w:r w:rsidRPr="00E34C00">
        <w:t xml:space="preserve"> К.Ю., заступника начальника відділу документального забезпечення і діловодства (канцелярії суду) Гармаш О.С., начальника відділу бухгалтерського обліку, звітності та господарського забезпечення Ляшенко О.І., заступника начальника відділу бухгалтерського обліку, звітності та господарського забезпечення Жилу Т.І., секретаря судового засідання </w:t>
      </w:r>
      <w:proofErr w:type="spellStart"/>
      <w:r w:rsidRPr="00E34C00">
        <w:t>Рябчич</w:t>
      </w:r>
      <w:proofErr w:type="spellEnd"/>
      <w:r w:rsidRPr="00E34C00">
        <w:t xml:space="preserve"> А.М., головного спеціаліста з інформаційних технологій суду </w:t>
      </w:r>
      <w:proofErr w:type="spellStart"/>
      <w:r w:rsidRPr="00E34C00">
        <w:t>Сироткіна</w:t>
      </w:r>
      <w:proofErr w:type="spellEnd"/>
      <w:r w:rsidRPr="00E34C00">
        <w:t xml:space="preserve"> І.Б.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>Нагороджено Почесною грамотою Державної судової адміністрації України: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 xml:space="preserve">помічника судді Ковальчук Н.В., головного спеціаліста з режимно-секретної роботи суду </w:t>
      </w:r>
      <w:proofErr w:type="spellStart"/>
      <w:r w:rsidRPr="00E34C00">
        <w:t>Баздиреву</w:t>
      </w:r>
      <w:proofErr w:type="spellEnd"/>
      <w:r w:rsidRPr="00E34C00">
        <w:t xml:space="preserve"> Я.О.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>Оголошено Подяку Вищого адміністративного суду України: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 xml:space="preserve"> головному спеціалісту з питань персоналу суду </w:t>
      </w:r>
      <w:proofErr w:type="spellStart"/>
      <w:r w:rsidRPr="00E34C00">
        <w:t>Чернієнко</w:t>
      </w:r>
      <w:proofErr w:type="spellEnd"/>
      <w:r w:rsidRPr="00E34C00">
        <w:t xml:space="preserve"> М.В., начальнику відділу документального забезпечення і діловодства (канцелярії суду) Семенюк Г.С., головному спеціалісту з узагальнення судової практики відділу аналітично-статистичної роботи суду Скакуну Є.М. 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>4. Щорічна оцінка державних службовців.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>У 2016 р. проведено щорічну оцінку виконання державними службовцями функціональних обов’язків і завдань за 2015 рік, за результатами якої роботу 27 осіб було оцінено на «добре» та «відмінно».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>5. Заходи.</w:t>
      </w:r>
    </w:p>
    <w:p w:rsidR="00E34C00" w:rsidRPr="00E34C00" w:rsidRDefault="00E34C00" w:rsidP="00E34C00">
      <w:pPr>
        <w:contextualSpacing/>
        <w:jc w:val="both"/>
      </w:pPr>
      <w:r w:rsidRPr="00E34C00">
        <w:t xml:space="preserve">            -  </w:t>
      </w:r>
      <w:r w:rsidRPr="00E34C00">
        <w:rPr>
          <w:shd w:val="clear" w:color="auto" w:fill="FFFFFF"/>
        </w:rPr>
        <w:t>23 березня та 05 травня 2016 року в приміщенні суду проведено Дні відкритих дверей</w:t>
      </w:r>
      <w:r w:rsidRPr="00E34C00">
        <w:t>;</w:t>
      </w:r>
    </w:p>
    <w:p w:rsidR="00E34C00" w:rsidRPr="00E34C00" w:rsidRDefault="00E34C00" w:rsidP="00E34C00">
      <w:pPr>
        <w:contextualSpacing/>
        <w:jc w:val="both"/>
      </w:pPr>
      <w:r w:rsidRPr="00E34C00">
        <w:t xml:space="preserve">           - молодіжною громадською організацією у партнерстві з БФ «Творчий центр ТЦК» (м. Київ) у рамках проекту «Громадянська ініціатива з оцінки якості функціонування судів Херсонської та Миколаївської областей», за підтримки Проекту Агентства США з міжнародного розвитку (USAID) «Справедливе правосуддя» проведено опитування відвідувачів суду з подальшим обговоренням у форматі круглого столу рекомендацій щодо шляхів покращення функціонування судів в Херсонській області;</w:t>
      </w:r>
    </w:p>
    <w:p w:rsidR="00E34C00" w:rsidRPr="00E34C00" w:rsidRDefault="00E34C00" w:rsidP="00E34C00">
      <w:pPr>
        <w:contextualSpacing/>
        <w:jc w:val="both"/>
      </w:pPr>
      <w:r w:rsidRPr="00E34C00">
        <w:t xml:space="preserve">           - </w:t>
      </w:r>
      <w:r w:rsidRPr="00E34C00">
        <w:rPr>
          <w:shd w:val="clear" w:color="auto" w:fill="FFFFFF"/>
        </w:rPr>
        <w:t>в період з</w:t>
      </w:r>
      <w:r w:rsidRPr="00E34C00">
        <w:rPr>
          <w:rStyle w:val="apple-converted-space"/>
          <w:shd w:val="clear" w:color="auto" w:fill="FFFFFF"/>
        </w:rPr>
        <w:t> </w:t>
      </w:r>
      <w:r w:rsidRPr="00E34C00">
        <w:rPr>
          <w:bCs/>
          <w:shd w:val="clear" w:color="auto" w:fill="FFFFFF"/>
        </w:rPr>
        <w:t>1 по 10 серпня 2016</w:t>
      </w:r>
      <w:r w:rsidRPr="00E34C00">
        <w:rPr>
          <w:rStyle w:val="apple-converted-space"/>
          <w:shd w:val="clear" w:color="auto" w:fill="FFFFFF"/>
        </w:rPr>
        <w:t> </w:t>
      </w:r>
      <w:r w:rsidRPr="00E34C00">
        <w:rPr>
          <w:shd w:val="clear" w:color="auto" w:fill="FFFFFF"/>
        </w:rPr>
        <w:t>року в Херсонському окружному адміністративному суді проведено опитування громадян (відвідувачів суду) з оцінки рівня задоволеності користувачів якістю окремих аспектів функціонування суду на виконання рішення Ради суддів України від 12.05.2016 № 35. </w:t>
      </w:r>
      <w:r w:rsidRPr="00E34C00">
        <w:t>;</w:t>
      </w:r>
    </w:p>
    <w:p w:rsidR="00E34C00" w:rsidRPr="00E34C00" w:rsidRDefault="00E34C00" w:rsidP="00E34C00">
      <w:pPr>
        <w:contextualSpacing/>
        <w:jc w:val="both"/>
        <w:rPr>
          <w:shd w:val="clear" w:color="auto" w:fill="FFFFFF"/>
        </w:rPr>
      </w:pPr>
      <w:r w:rsidRPr="00E34C00">
        <w:t xml:space="preserve">            - з метою </w:t>
      </w:r>
      <w:r w:rsidRPr="00E34C00">
        <w:rPr>
          <w:shd w:val="clear" w:color="auto" w:fill="FFFFFF"/>
        </w:rPr>
        <w:t xml:space="preserve">підвищення загального рівня правової культури та вдосконалення системи правової освіти </w:t>
      </w:r>
      <w:r w:rsidRPr="00E34C00">
        <w:t xml:space="preserve">08 грудня 2016 року суд долучився до Всеукраїнського тижня права, запросивши </w:t>
      </w:r>
      <w:r w:rsidRPr="00E34C00">
        <w:rPr>
          <w:shd w:val="clear" w:color="auto" w:fill="FFFFFF"/>
        </w:rPr>
        <w:t>студентів юридичного факультету Херсонського державного університету;</w:t>
      </w:r>
    </w:p>
    <w:p w:rsidR="00E34C00" w:rsidRPr="00E34C00" w:rsidRDefault="00E34C00" w:rsidP="00E34C00">
      <w:pPr>
        <w:contextualSpacing/>
        <w:jc w:val="both"/>
        <w:rPr>
          <w:shd w:val="clear" w:color="auto" w:fill="FFFFFF"/>
        </w:rPr>
      </w:pPr>
      <w:r w:rsidRPr="00E34C00">
        <w:rPr>
          <w:shd w:val="clear" w:color="auto" w:fill="FFFFFF"/>
        </w:rPr>
        <w:t xml:space="preserve">           - </w:t>
      </w:r>
      <w:r w:rsidRPr="00E34C00">
        <w:rPr>
          <w:bCs/>
          <w:shd w:val="clear" w:color="auto" w:fill="FFFFFF"/>
        </w:rPr>
        <w:t>28 грудня 2016 року</w:t>
      </w:r>
      <w:r w:rsidRPr="00E34C00">
        <w:rPr>
          <w:rStyle w:val="apple-converted-space"/>
          <w:bCs/>
          <w:shd w:val="clear" w:color="auto" w:fill="FFFFFF"/>
        </w:rPr>
        <w:t> </w:t>
      </w:r>
      <w:r w:rsidRPr="00E34C00">
        <w:rPr>
          <w:bCs/>
          <w:shd w:val="clear" w:color="auto" w:fill="FFFFFF"/>
        </w:rPr>
        <w:t>проведено зустріч із представниками ЗМІ щодо підведення підсумків роботи суду за рік.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 xml:space="preserve">6. Діяльність з покращення умов для відвідувачів суду: </w:t>
      </w:r>
    </w:p>
    <w:p w:rsidR="00E34C00" w:rsidRPr="00E34C00" w:rsidRDefault="00E34C00" w:rsidP="00E34C00">
      <w:pPr>
        <w:contextualSpacing/>
        <w:jc w:val="both"/>
        <w:rPr>
          <w:shd w:val="clear" w:color="auto" w:fill="FFFFFF"/>
        </w:rPr>
      </w:pPr>
      <w:r w:rsidRPr="00E34C00">
        <w:t xml:space="preserve">           - </w:t>
      </w:r>
      <w:r w:rsidRPr="00E34C00">
        <w:rPr>
          <w:shd w:val="clear" w:color="auto" w:fill="FFFFFF"/>
        </w:rPr>
        <w:t>відповідно до Закону України «Про звернення громадян» та внесених до нього змін щодо електронного звернення надана можливість надсилання письмового звернення з використанням мережі Інтернет на електронну адресу суду;</w:t>
      </w:r>
    </w:p>
    <w:p w:rsidR="00E34C00" w:rsidRPr="00E34C00" w:rsidRDefault="00E34C00" w:rsidP="00E34C00">
      <w:pPr>
        <w:contextualSpacing/>
        <w:jc w:val="both"/>
        <w:rPr>
          <w:shd w:val="clear" w:color="auto" w:fill="FFFFFF"/>
        </w:rPr>
      </w:pPr>
      <w:r w:rsidRPr="00E34C00">
        <w:t xml:space="preserve">         - </w:t>
      </w:r>
      <w:r w:rsidRPr="00E34C00">
        <w:rPr>
          <w:color w:val="555577"/>
          <w:shd w:val="clear" w:color="auto" w:fill="FFFFFF"/>
        </w:rPr>
        <w:t> </w:t>
      </w:r>
      <w:r w:rsidRPr="00E34C00">
        <w:rPr>
          <w:shd w:val="clear" w:color="auto" w:fill="FFFFFF"/>
        </w:rPr>
        <w:t xml:space="preserve">з метою створення комфортного перебування в суді для відвідувачів у холі суду встановлено універсальні пристрої для підзарядки найпоширеніших моделей мобільних телефонів, портативних пристроїв та інших </w:t>
      </w:r>
      <w:proofErr w:type="spellStart"/>
      <w:r w:rsidRPr="00E34C00">
        <w:rPr>
          <w:shd w:val="clear" w:color="auto" w:fill="FFFFFF"/>
        </w:rPr>
        <w:t>гаджетів</w:t>
      </w:r>
      <w:proofErr w:type="spellEnd"/>
      <w:r w:rsidRPr="00E34C00">
        <w:rPr>
          <w:shd w:val="clear" w:color="auto" w:fill="FFFFFF"/>
        </w:rPr>
        <w:t>;</w:t>
      </w:r>
    </w:p>
    <w:p w:rsidR="00E34C00" w:rsidRPr="00E34C00" w:rsidRDefault="00E34C00" w:rsidP="00E34C00">
      <w:pPr>
        <w:contextualSpacing/>
        <w:jc w:val="both"/>
      </w:pPr>
      <w:r w:rsidRPr="00E34C00">
        <w:rPr>
          <w:shd w:val="clear" w:color="auto" w:fill="FFFFFF"/>
        </w:rPr>
        <w:t xml:space="preserve">          </w:t>
      </w:r>
      <w:r w:rsidRPr="00E34C00">
        <w:t>- запроваджено подання запитів на отримання публічної інформації телефоном; відповідь на телефонні запити надається за вибором запитувача – усно чи офіційним листом;</w:t>
      </w:r>
    </w:p>
    <w:p w:rsidR="00E34C00" w:rsidRPr="00E34C00" w:rsidRDefault="00E34C00" w:rsidP="00E34C00">
      <w:pPr>
        <w:contextualSpacing/>
        <w:jc w:val="both"/>
        <w:rPr>
          <w:shd w:val="clear" w:color="auto" w:fill="FFFFFF"/>
        </w:rPr>
      </w:pPr>
      <w:r w:rsidRPr="00E34C00">
        <w:t xml:space="preserve">          - організовано спеціальне місце для роботи запитувачів інформації з документами, стосовно яких направлено запит, не витрачаючи при цьому коштів на їх копіювання або друк, якщо обсяг більше ніж 10 сторінок.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>7.  Розроблено та затверджено локальні нормативні акти: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>Положення про конкурсну комісію на зайняття вакантних посад державної служби у Херсонському окружному адміністративному суді;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>Положення про дисциплінарну комісію з розгляду дисциплінарних справ Херсонського окружного адміністративного суду;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>Положення про архів Херсонського окружного адміністративного суду;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>Правила внутрішнього службового розпорядку;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lastRenderedPageBreak/>
        <w:t>Порядок організації пропускного режиму до приміщення Херсонського окружного адміністративного суду;</w:t>
      </w:r>
    </w:p>
    <w:p w:rsidR="00E34C00" w:rsidRPr="00E34C00" w:rsidRDefault="00E34C00" w:rsidP="00E34C00">
      <w:pPr>
        <w:ind w:firstLine="709"/>
        <w:contextualSpacing/>
        <w:jc w:val="both"/>
      </w:pPr>
      <w:r w:rsidRPr="00E34C00">
        <w:t>Положення про організацію бухгалтерського обліку у Херсонському окружному адміністративному суді.</w:t>
      </w:r>
    </w:p>
    <w:p w:rsidR="00E34C00" w:rsidRPr="00E34C00" w:rsidRDefault="00E34C00" w:rsidP="00E34C00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lang w:val="uk-UA"/>
        </w:rPr>
      </w:pPr>
    </w:p>
    <w:p w:rsidR="00250216" w:rsidRPr="00E34C00" w:rsidRDefault="00250216" w:rsidP="00E34C00"/>
    <w:sectPr w:rsidR="00250216" w:rsidRPr="00E34C00" w:rsidSect="00781AF5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05"/>
    <w:multiLevelType w:val="hybridMultilevel"/>
    <w:tmpl w:val="4C4C93B4"/>
    <w:lvl w:ilvl="0" w:tplc="FB50EC5C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C465A9"/>
    <w:multiLevelType w:val="hybridMultilevel"/>
    <w:tmpl w:val="4D56370E"/>
    <w:lvl w:ilvl="0" w:tplc="A9E2AEE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733F4F"/>
    <w:multiLevelType w:val="hybridMultilevel"/>
    <w:tmpl w:val="03C85924"/>
    <w:lvl w:ilvl="0" w:tplc="1F741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5FFD"/>
    <w:rsid w:val="000469A3"/>
    <w:rsid w:val="0022103B"/>
    <w:rsid w:val="00250216"/>
    <w:rsid w:val="003009AB"/>
    <w:rsid w:val="004E418E"/>
    <w:rsid w:val="00781AF5"/>
    <w:rsid w:val="008720A8"/>
    <w:rsid w:val="009C0A8F"/>
    <w:rsid w:val="00A70138"/>
    <w:rsid w:val="00C75FFD"/>
    <w:rsid w:val="00C94F6C"/>
    <w:rsid w:val="00E3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559" w:right="8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D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FFD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C75FFD"/>
    <w:pPr>
      <w:ind w:left="720"/>
      <w:contextualSpacing/>
    </w:pPr>
  </w:style>
  <w:style w:type="paragraph" w:customStyle="1" w:styleId="rvps2">
    <w:name w:val="rvps2"/>
    <w:basedOn w:val="a"/>
    <w:rsid w:val="00E34C00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E34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2017-11-07T13:06:00Z</dcterms:created>
  <dcterms:modified xsi:type="dcterms:W3CDTF">2018-02-07T09:13:00Z</dcterms:modified>
</cp:coreProperties>
</file>